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left"/>
        <w:rPr/>
      </w:pPr>
      <w:r w:rsidDel="00000000" w:rsidR="00000000" w:rsidRPr="00000000">
        <w:rPr>
          <w:rtl w:val="0"/>
        </w:rPr>
        <w:t xml:space="preserve">April 9-13, 2018</w:t>
      </w:r>
      <w:r w:rsidDel="00000000" w:rsidR="00000000" w:rsidRPr="00000000">
        <w:rPr>
          <w:rtl w:val="0"/>
        </w:rPr>
        <w:t xml:space="preserve">  </w:t>
        <w:tab/>
        <w:tab/>
        <w:t xml:space="preserve">                  </w:t>
        <w:tab/>
        <w:t xml:space="preserve">8th grade Math  1st-4th Periods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7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310"/>
        <w:gridCol w:w="2340"/>
        <w:gridCol w:w="2400"/>
        <w:gridCol w:w="2490"/>
        <w:gridCol w:w="2565"/>
        <w:gridCol w:w="2610"/>
        <w:tblGridChange w:id="0">
          <w:tblGrid>
            <w:gridCol w:w="2310"/>
            <w:gridCol w:w="2340"/>
            <w:gridCol w:w="2400"/>
            <w:gridCol w:w="2490"/>
            <w:gridCol w:w="2565"/>
            <w:gridCol w:w="2610"/>
          </w:tblGrid>
        </w:tblGridChange>
      </w:tblGrid>
      <w:tr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yellow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92d050" w:val="clear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red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00b0f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00b0f0" w:val="clear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cc00c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cc00cc" w:val="clear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contextualSpacing w:val="0"/>
              <w:jc w:val="left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 No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contextualSpacing w:val="0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"http://www.corestandards.org/Math/Content/6/EE/A/1/"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.6.EE.A.1</w:t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color w:val="202020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Write and evaluate numerical expressions involving whole-number exponents.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color w:val="373737"/>
                <w:sz w:val="18"/>
                <w:szCs w:val="18"/>
                <w:u w:val="single"/>
              </w:rPr>
            </w:pPr>
            <w:r w:rsidDel="00000000" w:rsidR="00000000" w:rsidRPr="00000000">
              <w:fldChar w:fldCharType="begin"/>
              <w:instrText xml:space="preserve"> HYPERLINK "http://www.corestandards.org/Math/Content/5/NBT/A/4/" </w:instrText>
              <w:fldChar w:fldCharType="separate"/>
            </w:r>
            <w:r w:rsidDel="00000000" w:rsidR="00000000" w:rsidRPr="00000000">
              <w:rPr>
                <w:color w:val="373737"/>
                <w:sz w:val="18"/>
                <w:szCs w:val="18"/>
                <w:u w:val="single"/>
                <w:rtl w:val="0"/>
              </w:rPr>
              <w:t xml:space="preserve">.5.NBT.A.4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color w:val="202020"/>
                <w:sz w:val="18"/>
                <w:szCs w:val="18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color w:val="202020"/>
                <w:sz w:val="25"/>
                <w:szCs w:val="25"/>
                <w:rtl w:val="0"/>
              </w:rPr>
              <w:t xml:space="preserve">Use place value understanding to round decimals to any place.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Standards varies per student</w:t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Using Edgenuity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Standards varies per student</w:t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color w:val="202020"/>
              </w:rPr>
            </w:pPr>
            <w:r w:rsidDel="00000000" w:rsidR="00000000" w:rsidRPr="00000000">
              <w:rPr>
                <w:color w:val="202020"/>
                <w:rtl w:val="0"/>
              </w:rPr>
              <w:t xml:space="preserve">Using Edgenuity</w:t>
            </w:r>
          </w:p>
        </w:tc>
      </w:tr>
      <w:tr>
        <w:trPr>
          <w:trHeight w:val="26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evaluate exponents.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find missing exponent or base.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subtract whole numbers fluently and accurately.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can round decimals to any place value.</w:t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ILP - Varies per student from 6th grade to 7th grade math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Plans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(Include Instructional Method, Strategies, and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problems from 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Math Fluency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Complete problems from IXL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i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                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 individual lessons from Edgenuity</w:t>
            </w:r>
          </w:p>
          <w:p w:rsidR="00000000" w:rsidDel="00000000" w:rsidP="00000000" w:rsidRDefault="00000000" w:rsidRPr="00000000" w14:paraId="00000031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Play Kahoot Game to review fractions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Assessments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hd w:fill="eeece1" w:val="clear"/>
                <w:rtl w:val="0"/>
              </w:rPr>
              <w:t xml:space="preserve">(Formative and Summative)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Responses from each IXL Lesson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Responses from each IXL Lesson</w:t>
            </w:r>
          </w:p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Activity Worksheet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Pre-Test/Quiz from Edgenuity Lesson</w:t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Pre-Test/Quiz from Edgenuity Lesson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Results from Kahoot Game</w:t>
            </w:r>
          </w:p>
          <w:p w:rsidR="00000000" w:rsidDel="00000000" w:rsidP="00000000" w:rsidRDefault="00000000" w:rsidRPr="00000000" w14:paraId="00000042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Resources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4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4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4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KAS</w:t>
            </w:r>
          </w:p>
          <w:p w:rsidR="00000000" w:rsidDel="00000000" w:rsidP="00000000" w:rsidRDefault="00000000" w:rsidRPr="00000000" w14:paraId="0000004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Vertical Progression Guide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 VARIES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Homework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Review 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eece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shd w:fill="eeece1" w:val="clear"/>
                <w:rtl w:val="0"/>
              </w:rPr>
              <w:t xml:space="preserve">Accommodations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Extended time for assignments</w:t>
            </w:r>
          </w:p>
        </w:tc>
      </w:tr>
    </w:tbl>
    <w:p w:rsidR="00000000" w:rsidDel="00000000" w:rsidP="00000000" w:rsidRDefault="00000000" w:rsidRPr="00000000" w14:paraId="0000006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